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A2" w:rsidRDefault="00603CA2" w:rsidP="00603CA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FBISD Summer Reading List 2014</w:t>
      </w:r>
    </w:p>
    <w:p w:rsidR="00603CA2" w:rsidRDefault="00603CA2" w:rsidP="00603CA2">
      <w:pPr>
        <w:spacing w:after="0" w:line="240" w:lineRule="auto"/>
        <w:jc w:val="center"/>
        <w:rPr>
          <w:b/>
        </w:rPr>
      </w:pPr>
      <w:r>
        <w:rPr>
          <w:b/>
        </w:rPr>
        <w:t>Eighth Grade</w:t>
      </w:r>
    </w:p>
    <w:p w:rsidR="00603CA2" w:rsidRDefault="00603CA2" w:rsidP="00603CA2">
      <w:pPr>
        <w:spacing w:after="0" w:line="240" w:lineRule="auto"/>
        <w:jc w:val="center"/>
        <w:rPr>
          <w:b/>
        </w:rPr>
      </w:pPr>
      <w:r>
        <w:rPr>
          <w:b/>
        </w:rPr>
        <w:t>(Please check campus lists for specific instructions)</w:t>
      </w:r>
    </w:p>
    <w:p w:rsidR="00603CA2" w:rsidRPr="00ED18B7" w:rsidRDefault="00603CA2" w:rsidP="00603CA2">
      <w:pPr>
        <w:spacing w:after="0" w:line="240" w:lineRule="auto"/>
        <w:jc w:val="center"/>
        <w:rPr>
          <w:b/>
        </w:rPr>
      </w:pP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214"/>
        <w:gridCol w:w="2700"/>
        <w:gridCol w:w="2700"/>
      </w:tblGrid>
      <w:tr w:rsidR="00603CA2" w:rsidRPr="00DB1BBA" w:rsidTr="006B6773">
        <w:trPr>
          <w:jc w:val="center"/>
        </w:trPr>
        <w:tc>
          <w:tcPr>
            <w:tcW w:w="2826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b/>
              </w:rPr>
            </w:pPr>
            <w:r w:rsidRPr="00DB1BBA">
              <w:rPr>
                <w:b/>
              </w:rPr>
              <w:t>Contemporary</w:t>
            </w:r>
          </w:p>
        </w:tc>
        <w:tc>
          <w:tcPr>
            <w:tcW w:w="2214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b/>
              </w:rPr>
            </w:pPr>
            <w:r w:rsidRPr="00DB1BBA">
              <w:rPr>
                <w:b/>
              </w:rPr>
              <w:t>Contemporary</w:t>
            </w:r>
          </w:p>
        </w:tc>
        <w:tc>
          <w:tcPr>
            <w:tcW w:w="2700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b/>
              </w:rPr>
            </w:pPr>
            <w:r w:rsidRPr="00DB1BBA">
              <w:rPr>
                <w:b/>
              </w:rPr>
              <w:t>Contemporary</w:t>
            </w:r>
          </w:p>
        </w:tc>
        <w:tc>
          <w:tcPr>
            <w:tcW w:w="2700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b/>
              </w:rPr>
            </w:pPr>
            <w:r w:rsidRPr="00DB1BBA">
              <w:rPr>
                <w:b/>
              </w:rPr>
              <w:t>Classic</w:t>
            </w:r>
          </w:p>
        </w:tc>
      </w:tr>
      <w:tr w:rsidR="00603CA2" w:rsidRPr="00DB1BBA" w:rsidTr="006B6773">
        <w:trPr>
          <w:jc w:val="center"/>
        </w:trPr>
        <w:tc>
          <w:tcPr>
            <w:tcW w:w="2826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r w:rsidRPr="00DB1BBA">
              <w:rPr>
                <w:rStyle w:val="medium-font1"/>
                <w:i/>
              </w:rPr>
              <w:t>Buried Onions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20"/>
                <w:szCs w:val="20"/>
              </w:rPr>
            </w:pPr>
            <w:r w:rsidRPr="00DB1BBA">
              <w:rPr>
                <w:rStyle w:val="medium-font1"/>
                <w:sz w:val="20"/>
                <w:szCs w:val="20"/>
              </w:rPr>
              <w:t>Gary Soto</w:t>
            </w:r>
          </w:p>
          <w:p w:rsidR="00603CA2" w:rsidRPr="00DB1BBA" w:rsidRDefault="00603CA2" w:rsidP="006B6773">
            <w:pPr>
              <w:spacing w:after="0" w:line="240" w:lineRule="auto"/>
              <w:rPr>
                <w:rStyle w:val="medium-font1"/>
              </w:rPr>
            </w:pP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</w:rPr>
            </w:pPr>
            <w:r w:rsidRPr="00DB1BBA">
              <w:rPr>
                <w:rStyle w:val="medium-font1"/>
              </w:rPr>
              <w:t>When nineteen-year-old Eddie drops out of college, he struggles to find a place for himself as a Mexican-American living in a violence--infested neighborhood of Fresno, California.</w:t>
            </w:r>
          </w:p>
          <w:p w:rsidR="00603CA2" w:rsidRPr="00DB1BBA" w:rsidRDefault="00603CA2" w:rsidP="006B6773">
            <w:pPr>
              <w:spacing w:after="0" w:line="240" w:lineRule="auto"/>
              <w:rPr>
                <w:b/>
              </w:rPr>
            </w:pPr>
          </w:p>
        </w:tc>
        <w:tc>
          <w:tcPr>
            <w:tcW w:w="2214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r w:rsidRPr="00DB1BBA">
              <w:rPr>
                <w:rStyle w:val="medium-font1"/>
                <w:i/>
              </w:rPr>
              <w:t>Hunger Games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20"/>
                <w:szCs w:val="20"/>
              </w:rPr>
            </w:pPr>
            <w:r w:rsidRPr="00DB1BBA">
              <w:rPr>
                <w:sz w:val="20"/>
                <w:szCs w:val="20"/>
              </w:rPr>
              <w:t>Suzanne Collins</w:t>
            </w:r>
          </w:p>
          <w:p w:rsidR="00603CA2" w:rsidRPr="00DB1BBA" w:rsidRDefault="00603CA2" w:rsidP="006B6773">
            <w:pPr>
              <w:spacing w:after="0" w:line="240" w:lineRule="auto"/>
              <w:rPr>
                <w:rStyle w:val="medium-font1"/>
              </w:rPr>
            </w:pP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20"/>
                <w:szCs w:val="20"/>
              </w:rPr>
            </w:pPr>
            <w:proofErr w:type="spellStart"/>
            <w:r w:rsidRPr="00DB1BBA">
              <w:rPr>
                <w:rStyle w:val="medium-font1"/>
              </w:rPr>
              <w:t>Katniss's</w:t>
            </w:r>
            <w:proofErr w:type="spellEnd"/>
            <w:r w:rsidRPr="00DB1BBA">
              <w:rPr>
                <w:rStyle w:val="medium-font1"/>
              </w:rPr>
              <w:t xml:space="preserve"> skills are put to the test when she voluntarily takes her younger sister's place</w:t>
            </w:r>
            <w:r>
              <w:rPr>
                <w:rStyle w:val="medium-font1"/>
              </w:rPr>
              <w:t xml:space="preserve"> in </w:t>
            </w:r>
            <w:r w:rsidRPr="00DB1BBA">
              <w:rPr>
                <w:rStyle w:val="medium-font1"/>
              </w:rPr>
              <w:t>an annual televised survival competition pitting young people against one another</w:t>
            </w:r>
            <w:proofErr w:type="gramStart"/>
            <w:r w:rsidRPr="00DB1BBA">
              <w:rPr>
                <w:rStyle w:val="medium-font1"/>
              </w:rPr>
              <w:t>;</w:t>
            </w:r>
            <w:r w:rsidRPr="00DB1BBA">
              <w:rPr>
                <w:rStyle w:val="medium-font1"/>
                <w:sz w:val="20"/>
                <w:szCs w:val="20"/>
              </w:rPr>
              <w:t>.</w:t>
            </w:r>
            <w:proofErr w:type="gramEnd"/>
          </w:p>
          <w:p w:rsidR="00603CA2" w:rsidRPr="00DB1BBA" w:rsidRDefault="00603CA2" w:rsidP="006B6773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r w:rsidRPr="00DB1BBA">
              <w:rPr>
                <w:rStyle w:val="medium-font1"/>
                <w:i/>
              </w:rPr>
              <w:t>*The Other Side of the Sky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20"/>
                <w:szCs w:val="20"/>
              </w:rPr>
            </w:pPr>
            <w:r w:rsidRPr="00DB1BBA">
              <w:rPr>
                <w:rStyle w:val="medium-font1"/>
                <w:sz w:val="20"/>
                <w:szCs w:val="20"/>
              </w:rPr>
              <w:t xml:space="preserve">Farah </w:t>
            </w:r>
            <w:proofErr w:type="spellStart"/>
            <w:r w:rsidRPr="00DB1BBA">
              <w:rPr>
                <w:rStyle w:val="medium-font1"/>
                <w:sz w:val="20"/>
                <w:szCs w:val="20"/>
              </w:rPr>
              <w:t>Ahmedi</w:t>
            </w:r>
            <w:proofErr w:type="spellEnd"/>
            <w:r w:rsidRPr="00DB1BBA">
              <w:rPr>
                <w:rStyle w:val="medium-font1"/>
                <w:sz w:val="20"/>
                <w:szCs w:val="20"/>
              </w:rPr>
              <w:t xml:space="preserve"> and 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20"/>
                <w:szCs w:val="20"/>
              </w:rPr>
            </w:pPr>
            <w:proofErr w:type="spellStart"/>
            <w:r w:rsidRPr="00DB1BBA">
              <w:rPr>
                <w:rStyle w:val="medium-font1"/>
                <w:sz w:val="20"/>
                <w:szCs w:val="20"/>
              </w:rPr>
              <w:t>Timim</w:t>
            </w:r>
            <w:proofErr w:type="spellEnd"/>
            <w:r w:rsidRPr="00DB1BBA">
              <w:rPr>
                <w:rStyle w:val="medium-font1"/>
                <w:sz w:val="20"/>
                <w:szCs w:val="20"/>
              </w:rPr>
              <w:t xml:space="preserve"> </w:t>
            </w:r>
            <w:proofErr w:type="spellStart"/>
            <w:r w:rsidRPr="00DB1BBA">
              <w:rPr>
                <w:rStyle w:val="medium-font1"/>
                <w:sz w:val="20"/>
                <w:szCs w:val="20"/>
              </w:rPr>
              <w:t>Ansary</w:t>
            </w:r>
            <w:proofErr w:type="spellEnd"/>
          </w:p>
          <w:p w:rsidR="00603CA2" w:rsidRPr="00DB1BBA" w:rsidRDefault="00603CA2" w:rsidP="006B6773">
            <w:pPr>
              <w:spacing w:after="0" w:line="240" w:lineRule="auto"/>
            </w:pPr>
          </w:p>
          <w:p w:rsidR="00603CA2" w:rsidRPr="00DB1BBA" w:rsidRDefault="00603CA2" w:rsidP="006B6773">
            <w:pPr>
              <w:spacing w:after="0" w:line="240" w:lineRule="auto"/>
              <w:jc w:val="center"/>
            </w:pPr>
            <w:r w:rsidRPr="00DB1BBA">
              <w:t>The victim of a land mine tells abo</w:t>
            </w:r>
            <w:r>
              <w:t>ut her childhood in Afghanistan</w:t>
            </w:r>
            <w:r w:rsidRPr="00DB1BBA">
              <w:t xml:space="preserve"> </w:t>
            </w:r>
            <w:r>
              <w:t xml:space="preserve">and </w:t>
            </w:r>
            <w:r w:rsidRPr="00DB1BBA">
              <w:t>discusses the challenges she has faced as a result of losing her leg, and in trying to adapt to living in the United States.</w:t>
            </w:r>
          </w:p>
        </w:tc>
        <w:tc>
          <w:tcPr>
            <w:tcW w:w="2700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i/>
              </w:rPr>
            </w:pPr>
            <w:r w:rsidRPr="00DB1BBA">
              <w:rPr>
                <w:i/>
              </w:rPr>
              <w:t xml:space="preserve">King Arthur and His Knights of the 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b/>
              </w:rPr>
            </w:pPr>
            <w:r w:rsidRPr="00DB1BBA">
              <w:rPr>
                <w:i/>
              </w:rPr>
              <w:t>Round Table</w:t>
            </w:r>
            <w:r w:rsidRPr="00DB1BBA">
              <w:rPr>
                <w:b/>
              </w:rPr>
              <w:t xml:space="preserve"> 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1BBA">
              <w:rPr>
                <w:sz w:val="20"/>
                <w:szCs w:val="20"/>
              </w:rPr>
              <w:t xml:space="preserve">Roger </w:t>
            </w:r>
            <w:proofErr w:type="spellStart"/>
            <w:r w:rsidRPr="00DB1BBA">
              <w:rPr>
                <w:sz w:val="20"/>
                <w:szCs w:val="20"/>
              </w:rPr>
              <w:t>Lancelyn</w:t>
            </w:r>
            <w:proofErr w:type="spellEnd"/>
            <w:r w:rsidRPr="00DB1BBA">
              <w:rPr>
                <w:sz w:val="20"/>
                <w:szCs w:val="20"/>
              </w:rPr>
              <w:t xml:space="preserve"> Green</w:t>
            </w:r>
          </w:p>
          <w:p w:rsidR="00603CA2" w:rsidRPr="00DB1BBA" w:rsidRDefault="00603CA2" w:rsidP="006B6773">
            <w:pPr>
              <w:spacing w:after="0" w:line="240" w:lineRule="auto"/>
            </w:pPr>
          </w:p>
          <w:p w:rsidR="00603CA2" w:rsidRPr="00DB1BBA" w:rsidRDefault="00603CA2" w:rsidP="006B6773">
            <w:pPr>
              <w:spacing w:after="0" w:line="240" w:lineRule="auto"/>
              <w:jc w:val="center"/>
            </w:pPr>
            <w:r w:rsidRPr="00DB1BBA">
              <w:t>Retells the stories of Sir Gawain and the Green Knight, the quest for the Holy Grail, and Morgana le Fay</w:t>
            </w:r>
          </w:p>
        </w:tc>
      </w:tr>
      <w:tr w:rsidR="00603CA2" w:rsidRPr="00DB1BBA" w:rsidTr="006B6773">
        <w:trPr>
          <w:jc w:val="center"/>
        </w:trPr>
        <w:tc>
          <w:tcPr>
            <w:tcW w:w="2826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r w:rsidRPr="00DB1BBA">
              <w:rPr>
                <w:rStyle w:val="medium-font1"/>
                <w:i/>
              </w:rPr>
              <w:t xml:space="preserve">*Claudette Colvin:   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r w:rsidRPr="00DB1BBA">
              <w:rPr>
                <w:rStyle w:val="medium-font1"/>
                <w:i/>
              </w:rPr>
              <w:t>Twice Toward Justice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20"/>
                <w:szCs w:val="20"/>
              </w:rPr>
            </w:pPr>
            <w:r w:rsidRPr="00DB1BBA">
              <w:rPr>
                <w:rStyle w:val="medium-font1"/>
                <w:sz w:val="20"/>
                <w:szCs w:val="20"/>
              </w:rPr>
              <w:t xml:space="preserve">Phillip </w:t>
            </w:r>
            <w:proofErr w:type="spellStart"/>
            <w:r w:rsidRPr="00DB1BBA">
              <w:rPr>
                <w:rStyle w:val="medium-font1"/>
                <w:sz w:val="20"/>
                <w:szCs w:val="20"/>
              </w:rPr>
              <w:t>Hoose</w:t>
            </w:r>
            <w:proofErr w:type="spellEnd"/>
          </w:p>
          <w:p w:rsidR="00603CA2" w:rsidRPr="00DB1BBA" w:rsidRDefault="00603CA2" w:rsidP="006B6773">
            <w:pPr>
              <w:spacing w:after="0" w:line="240" w:lineRule="auto"/>
            </w:pPr>
          </w:p>
          <w:p w:rsidR="00603CA2" w:rsidRPr="00DB1BBA" w:rsidRDefault="00603CA2" w:rsidP="006B6773">
            <w:pPr>
              <w:spacing w:after="0" w:line="240" w:lineRule="auto"/>
              <w:jc w:val="center"/>
            </w:pPr>
            <w:r w:rsidRPr="00DB1BBA">
              <w:t xml:space="preserve">Presents an account of </w:t>
            </w:r>
            <w:r>
              <w:t>15 year old</w:t>
            </w:r>
            <w:r w:rsidRPr="00DB1BBA">
              <w:t xml:space="preserve"> Claudette Colvin, an African-American girl who refused to give up her seat to a white woman on a segregated bus in Montgomery, Alabama, nine months before Rosa Parks, and covers her role in a crucial civil rights case.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</w:pPr>
          </w:p>
        </w:tc>
        <w:tc>
          <w:tcPr>
            <w:tcW w:w="2214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proofErr w:type="spellStart"/>
            <w:r w:rsidRPr="00DB1BBA">
              <w:rPr>
                <w:rStyle w:val="medium-font1"/>
                <w:i/>
              </w:rPr>
              <w:t>Romiette</w:t>
            </w:r>
            <w:proofErr w:type="spellEnd"/>
            <w:r w:rsidRPr="00DB1BBA">
              <w:rPr>
                <w:rStyle w:val="medium-font1"/>
                <w:i/>
              </w:rPr>
              <w:t xml:space="preserve"> and Julio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20"/>
                <w:szCs w:val="20"/>
              </w:rPr>
            </w:pPr>
            <w:r w:rsidRPr="00DB1BBA">
              <w:rPr>
                <w:rStyle w:val="medium-font1"/>
                <w:sz w:val="20"/>
                <w:szCs w:val="20"/>
              </w:rPr>
              <w:t>Sharon Draper</w:t>
            </w:r>
          </w:p>
          <w:p w:rsidR="00603CA2" w:rsidRPr="00DB1BBA" w:rsidRDefault="00603CA2" w:rsidP="006B6773">
            <w:pPr>
              <w:spacing w:after="0" w:line="240" w:lineRule="auto"/>
              <w:rPr>
                <w:rStyle w:val="medium-font1"/>
              </w:rPr>
            </w:pP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</w:rPr>
            </w:pPr>
            <w:r w:rsidRPr="00DB1BBA">
              <w:rPr>
                <w:rStyle w:val="medium-font1"/>
              </w:rPr>
              <w:t>An African-American girl and a Latino boy fall in love after meeting on the Internet, but a gang who objects to their interracial dating harasses them.</w:t>
            </w:r>
          </w:p>
          <w:p w:rsidR="00603CA2" w:rsidRPr="00DB1BBA" w:rsidRDefault="00603CA2" w:rsidP="006B6773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r w:rsidRPr="00DB1BBA">
              <w:rPr>
                <w:rStyle w:val="medium-font1"/>
                <w:i/>
              </w:rPr>
              <w:t>*Three Cups of Tea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r w:rsidRPr="00DB1BBA">
              <w:rPr>
                <w:rStyle w:val="medium-font1"/>
                <w:i/>
              </w:rPr>
              <w:t>The Young Reader’s Edition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20"/>
                <w:szCs w:val="20"/>
              </w:rPr>
            </w:pPr>
            <w:r w:rsidRPr="00DB1BBA">
              <w:rPr>
                <w:rStyle w:val="medium-font1"/>
                <w:sz w:val="20"/>
                <w:szCs w:val="20"/>
              </w:rPr>
              <w:t xml:space="preserve">Greg Mortenson and 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20"/>
                <w:szCs w:val="20"/>
              </w:rPr>
            </w:pPr>
            <w:r w:rsidRPr="00DB1BBA">
              <w:rPr>
                <w:rStyle w:val="medium-font1"/>
                <w:sz w:val="20"/>
                <w:szCs w:val="20"/>
              </w:rPr>
              <w:t xml:space="preserve">David </w:t>
            </w:r>
            <w:proofErr w:type="spellStart"/>
            <w:r w:rsidRPr="00DB1BBA">
              <w:rPr>
                <w:rStyle w:val="medium-font1"/>
                <w:sz w:val="20"/>
                <w:szCs w:val="20"/>
              </w:rPr>
              <w:t>Relin</w:t>
            </w:r>
            <w:proofErr w:type="spellEnd"/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</w:rPr>
            </w:pPr>
          </w:p>
          <w:p w:rsidR="00603CA2" w:rsidRPr="00DB1BBA" w:rsidRDefault="00603CA2" w:rsidP="006B6773">
            <w:pPr>
              <w:spacing w:after="0" w:line="240" w:lineRule="auto"/>
              <w:jc w:val="center"/>
            </w:pPr>
            <w:r w:rsidRPr="00DB1BBA">
              <w:t>One man's journey to change the world-- one child at a time.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</w:pPr>
          </w:p>
          <w:p w:rsidR="00603CA2" w:rsidRPr="00DB1BBA" w:rsidRDefault="00603CA2" w:rsidP="006B6773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r w:rsidRPr="00DB1BBA">
              <w:rPr>
                <w:rStyle w:val="medium-font1"/>
                <w:i/>
              </w:rPr>
              <w:t>The Adventures of Tom Sawyer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20"/>
                <w:szCs w:val="20"/>
              </w:rPr>
            </w:pPr>
            <w:r w:rsidRPr="00DB1BBA">
              <w:rPr>
                <w:rStyle w:val="medium-font1"/>
                <w:sz w:val="20"/>
                <w:szCs w:val="20"/>
              </w:rPr>
              <w:t>Mark Twain</w:t>
            </w:r>
          </w:p>
          <w:p w:rsidR="00603CA2" w:rsidRPr="00DB1BBA" w:rsidRDefault="00603CA2" w:rsidP="006B6773">
            <w:pPr>
              <w:spacing w:after="0" w:line="240" w:lineRule="auto"/>
              <w:rPr>
                <w:rStyle w:val="medium-font1"/>
              </w:rPr>
            </w:pP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</w:rPr>
            </w:pPr>
            <w:r w:rsidRPr="00DB1BBA">
              <w:rPr>
                <w:rStyle w:val="medium-font1"/>
              </w:rPr>
              <w:t>The adventures and pranks of a mischievous boy growing up in a 19th-century Mississippi River town as he plays hooky on an island, witnesses a crime, hunts for pirate's treasure, and becomes lost in a cave.</w:t>
            </w:r>
          </w:p>
          <w:p w:rsidR="00603CA2" w:rsidRPr="00DB1BBA" w:rsidRDefault="00603CA2" w:rsidP="006B6773">
            <w:pPr>
              <w:spacing w:after="0" w:line="240" w:lineRule="auto"/>
              <w:rPr>
                <w:b/>
              </w:rPr>
            </w:pPr>
          </w:p>
        </w:tc>
      </w:tr>
      <w:tr w:rsidR="00603CA2" w:rsidRPr="00DB1BBA" w:rsidTr="006B6773">
        <w:trPr>
          <w:jc w:val="center"/>
        </w:trPr>
        <w:tc>
          <w:tcPr>
            <w:tcW w:w="2826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r w:rsidRPr="00DB1BBA">
              <w:rPr>
                <w:rStyle w:val="medium-font1"/>
                <w:i/>
              </w:rPr>
              <w:t xml:space="preserve">*Gifted Hands:  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r w:rsidRPr="00DB1BBA">
              <w:rPr>
                <w:rStyle w:val="medium-font1"/>
                <w:i/>
              </w:rPr>
              <w:t>The Ben Carson Story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20"/>
                <w:szCs w:val="20"/>
              </w:rPr>
            </w:pPr>
            <w:r w:rsidRPr="00DB1BBA">
              <w:rPr>
                <w:rStyle w:val="medium-font1"/>
                <w:sz w:val="20"/>
                <w:szCs w:val="20"/>
              </w:rPr>
              <w:t>Ben Carson and Cecil  Murphy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</w:rPr>
            </w:pPr>
          </w:p>
          <w:p w:rsidR="00603CA2" w:rsidRPr="00ED18B7" w:rsidRDefault="00603CA2" w:rsidP="006B6773">
            <w:pPr>
              <w:spacing w:after="0" w:line="240" w:lineRule="auto"/>
              <w:jc w:val="center"/>
            </w:pPr>
            <w:r w:rsidRPr="00DB1BBA">
              <w:rPr>
                <w:rStyle w:val="medium-font1"/>
              </w:rPr>
              <w:t>Captures Dr. Ben Carson's fight to beat the odds, the secret behind his accomplishments as a pediatric neurosurgeon, and what drives him to take risks.</w:t>
            </w:r>
          </w:p>
        </w:tc>
        <w:tc>
          <w:tcPr>
            <w:tcW w:w="2214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proofErr w:type="spellStart"/>
            <w:r w:rsidRPr="00DB1BBA">
              <w:rPr>
                <w:rStyle w:val="medium-font1"/>
                <w:i/>
              </w:rPr>
              <w:t>Shabanu:Daughter</w:t>
            </w:r>
            <w:proofErr w:type="spellEnd"/>
            <w:r w:rsidRPr="00DB1BBA">
              <w:rPr>
                <w:rStyle w:val="medium-font1"/>
                <w:i/>
              </w:rPr>
              <w:t xml:space="preserve"> of the Wind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20"/>
                <w:szCs w:val="20"/>
              </w:rPr>
            </w:pPr>
            <w:r w:rsidRPr="00DB1BBA">
              <w:rPr>
                <w:sz w:val="20"/>
                <w:szCs w:val="20"/>
              </w:rPr>
              <w:t>Suzanne Fisher Staples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</w:rPr>
            </w:pPr>
          </w:p>
          <w:p w:rsidR="00603CA2" w:rsidRPr="00ED18B7" w:rsidRDefault="00603CA2" w:rsidP="006B677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D18B7">
              <w:rPr>
                <w:rStyle w:val="medium-font1"/>
                <w:sz w:val="21"/>
                <w:szCs w:val="21"/>
              </w:rPr>
              <w:t xml:space="preserve">In a year that brings a sandstorm, a feud with a rich landowner, and other disasters, the daughter of a nomad in the Pakistan desert, becomes a victim of her people's views of gender roles and marriage. </w:t>
            </w:r>
          </w:p>
        </w:tc>
        <w:tc>
          <w:tcPr>
            <w:tcW w:w="2700" w:type="dxa"/>
          </w:tcPr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i/>
              </w:rPr>
            </w:pPr>
            <w:r w:rsidRPr="00DB1BBA">
              <w:rPr>
                <w:rStyle w:val="medium-font1"/>
                <w:i/>
              </w:rPr>
              <w:t>Touching Spirit Bear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1BBA">
              <w:rPr>
                <w:sz w:val="20"/>
                <w:szCs w:val="20"/>
              </w:rPr>
              <w:t xml:space="preserve">Ben </w:t>
            </w:r>
            <w:proofErr w:type="spellStart"/>
            <w:r w:rsidRPr="00DB1BBA">
              <w:rPr>
                <w:sz w:val="20"/>
                <w:szCs w:val="20"/>
              </w:rPr>
              <w:t>Mikaelsen</w:t>
            </w:r>
            <w:proofErr w:type="spellEnd"/>
          </w:p>
          <w:p w:rsidR="00603CA2" w:rsidRPr="00DB1BBA" w:rsidRDefault="00603CA2" w:rsidP="006B6773">
            <w:pPr>
              <w:spacing w:after="0" w:line="240" w:lineRule="auto"/>
              <w:rPr>
                <w:sz w:val="20"/>
                <w:szCs w:val="20"/>
              </w:rPr>
            </w:pP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b/>
              </w:rPr>
            </w:pPr>
            <w:r w:rsidRPr="00DB1BBA">
              <w:t>In order to avoid going to prison Cole agrees to participate in a sentencing alternative based on the Native American Circle Justice, and he is sent to a remote Alaskan Island where an encounter</w:t>
            </w:r>
            <w:r>
              <w:t xml:space="preserve"> with a bear changes him.</w:t>
            </w:r>
          </w:p>
        </w:tc>
        <w:tc>
          <w:tcPr>
            <w:tcW w:w="2700" w:type="dxa"/>
          </w:tcPr>
          <w:p w:rsidR="00603CA2" w:rsidRPr="00DB1BBA" w:rsidRDefault="00603CA2" w:rsidP="006B6773">
            <w:pPr>
              <w:spacing w:after="0" w:line="240" w:lineRule="auto"/>
              <w:rPr>
                <w:rStyle w:val="medium-font1"/>
                <w:b/>
              </w:rPr>
            </w:pPr>
          </w:p>
          <w:p w:rsidR="00603CA2" w:rsidRPr="00DB1BBA" w:rsidRDefault="00603CA2" w:rsidP="006B6773">
            <w:pPr>
              <w:spacing w:after="0" w:line="240" w:lineRule="auto"/>
              <w:rPr>
                <w:rStyle w:val="medium-font1"/>
                <w:b/>
              </w:rPr>
            </w:pPr>
            <w:r w:rsidRPr="00DB1BBA">
              <w:rPr>
                <w:rStyle w:val="medium-font1"/>
                <w:b/>
              </w:rPr>
              <w:t xml:space="preserve">Students are required to read two selections from this list before entering eighth grade </w:t>
            </w:r>
            <w:proofErr w:type="spellStart"/>
            <w:r w:rsidRPr="00DB1BBA">
              <w:rPr>
                <w:rStyle w:val="medium-font1"/>
                <w:b/>
              </w:rPr>
              <w:t>PreAP</w:t>
            </w:r>
            <w:proofErr w:type="spellEnd"/>
            <w:r w:rsidRPr="00DB1BBA">
              <w:rPr>
                <w:rStyle w:val="medium-font1"/>
                <w:b/>
              </w:rPr>
              <w:t xml:space="preserve"> or GT classes.  They will be assessed on summer reading within the first six weeks of school.  These selections are recommended for all students.</w:t>
            </w: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rStyle w:val="medium-font1"/>
                <w:sz w:val="16"/>
                <w:szCs w:val="16"/>
              </w:rPr>
            </w:pPr>
          </w:p>
          <w:p w:rsidR="00603CA2" w:rsidRPr="00DB1BBA" w:rsidRDefault="00603CA2" w:rsidP="006B6773">
            <w:pPr>
              <w:spacing w:after="0" w:line="240" w:lineRule="auto"/>
              <w:jc w:val="center"/>
              <w:rPr>
                <w:b/>
              </w:rPr>
            </w:pPr>
            <w:r w:rsidRPr="00DB1BBA">
              <w:rPr>
                <w:rStyle w:val="medium-font1"/>
              </w:rPr>
              <w:t>* denotes nonfiction</w:t>
            </w:r>
          </w:p>
        </w:tc>
      </w:tr>
    </w:tbl>
    <w:p w:rsidR="00603CA2" w:rsidRDefault="00603CA2" w:rsidP="00603CA2">
      <w:pPr>
        <w:spacing w:after="0" w:line="240" w:lineRule="auto"/>
        <w:jc w:val="center"/>
        <w:rPr>
          <w:b/>
        </w:rPr>
      </w:pPr>
      <w:r>
        <w:rPr>
          <w:b/>
        </w:rPr>
        <w:t xml:space="preserve">To find a synopsis of these texts, see the FBISD online catalog and EBSCO – </w:t>
      </w:r>
      <w:proofErr w:type="spellStart"/>
      <w:r>
        <w:rPr>
          <w:b/>
        </w:rPr>
        <w:t>NoveList</w:t>
      </w:r>
      <w:proofErr w:type="spellEnd"/>
      <w:r>
        <w:rPr>
          <w:b/>
        </w:rPr>
        <w:t>.</w:t>
      </w:r>
    </w:p>
    <w:p w:rsidR="009766D2" w:rsidRDefault="009766D2"/>
    <w:sectPr w:rsidR="0097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A2"/>
    <w:rsid w:val="003F02ED"/>
    <w:rsid w:val="00603CA2"/>
    <w:rsid w:val="00781B22"/>
    <w:rsid w:val="009766D2"/>
    <w:rsid w:val="00C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font1">
    <w:name w:val="medium-font1"/>
    <w:basedOn w:val="DefaultParagraphFont"/>
    <w:rsid w:val="00603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font1">
    <w:name w:val="medium-font1"/>
    <w:basedOn w:val="DefaultParagraphFont"/>
    <w:rsid w:val="0060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Stapp, Kristen</dc:creator>
  <cp:lastModifiedBy>Marla</cp:lastModifiedBy>
  <cp:revision>2</cp:revision>
  <dcterms:created xsi:type="dcterms:W3CDTF">2014-07-07T15:46:00Z</dcterms:created>
  <dcterms:modified xsi:type="dcterms:W3CDTF">2014-07-07T15:46:00Z</dcterms:modified>
</cp:coreProperties>
</file>